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1BD" w:rsidRPr="007C51BD" w:rsidRDefault="007C51BD" w:rsidP="007C51BD">
      <w:pPr>
        <w:rPr>
          <w:rFonts w:cs="Times New Roman"/>
          <w:szCs w:val="24"/>
        </w:rPr>
      </w:pPr>
      <w:r w:rsidRPr="007C51BD">
        <w:rPr>
          <w:rFonts w:eastAsia="Times New Roman" w:cs="Times New Roman"/>
          <w:bCs/>
          <w:color w:val="000000"/>
          <w:szCs w:val="24"/>
          <w:bdr w:val="none" w:sz="0" w:space="0" w:color="auto" w:frame="1"/>
        </w:rPr>
        <w:t>Briefly discuss Barriers and Benefits to Implementing the Inclusive Approach at Level IV and its interconnectivity to Diversity - specifically within the workplace</w:t>
      </w:r>
    </w:p>
    <w:p w:rsidR="00F5557A" w:rsidRPr="007C51BD" w:rsidRDefault="007C51BD" w:rsidP="007C51BD">
      <w:pPr>
        <w:ind w:firstLine="720"/>
        <w:rPr>
          <w:rFonts w:cs="Times New Roman"/>
          <w:szCs w:val="24"/>
        </w:rPr>
      </w:pPr>
      <w:r w:rsidRPr="007C51BD">
        <w:rPr>
          <w:rFonts w:cs="Times New Roman"/>
          <w:szCs w:val="24"/>
        </w:rPr>
        <w:t>Barriers to implementing the inclusive approach at Level IV are myriad. Firstly, greed is a primary barrier that may motivate companies to overstep a fair economic exchange and then take advantage of workers as well as resources of a host country. Secondly, there might be instances of discrimination through consideration of age, gender, race, and personal attributes based on hiring, along with conditions of employment. On the other hand, companies get considerable benefits through implementing the inclusive approach at Level IV, like enjoying an increasingly global marketplace, which is apparent in the recruitment of workers from different nations. Also, companies deliver their operations in an expanded global market.</w:t>
      </w:r>
    </w:p>
    <w:sectPr w:rsidR="00F5557A" w:rsidRPr="007C51BD" w:rsidSect="00020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3577"/>
    <w:rsid w:val="00020797"/>
    <w:rsid w:val="000641D5"/>
    <w:rsid w:val="002D25C0"/>
    <w:rsid w:val="007C51BD"/>
    <w:rsid w:val="00841178"/>
    <w:rsid w:val="00853DC4"/>
    <w:rsid w:val="00883577"/>
    <w:rsid w:val="00C857DA"/>
    <w:rsid w:val="00E347EB"/>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133</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3</cp:revision>
  <dcterms:created xsi:type="dcterms:W3CDTF">2020-04-11T09:40:00Z</dcterms:created>
  <dcterms:modified xsi:type="dcterms:W3CDTF">2020-04-11T11:03:00Z</dcterms:modified>
</cp:coreProperties>
</file>